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1191" w14:textId="77777777" w:rsidR="00A624DD" w:rsidRDefault="00A47949">
      <w:pPr>
        <w:widowControl/>
        <w:spacing w:line="600" w:lineRule="exact"/>
        <w:jc w:val="center"/>
        <w:outlineLvl w:val="0"/>
        <w:rPr>
          <w:rFonts w:ascii="仿宋" w:eastAsia="仿宋" w:hAnsi="仿宋" w:cs="仿宋"/>
          <w:b/>
          <w:bCs/>
          <w:kern w:val="36"/>
          <w:sz w:val="36"/>
          <w:szCs w:val="36"/>
        </w:rPr>
      </w:pPr>
      <w:r>
        <w:rPr>
          <w:rFonts w:ascii="仿宋" w:eastAsia="仿宋" w:hAnsi="仿宋" w:cs="仿宋" w:hint="eastAsia"/>
          <w:b/>
          <w:bCs/>
          <w:kern w:val="36"/>
          <w:sz w:val="36"/>
          <w:szCs w:val="36"/>
        </w:rPr>
        <w:t>湖南文化艺术品产权交易所</w:t>
      </w:r>
    </w:p>
    <w:p w14:paraId="1D7BB0A9" w14:textId="77777777" w:rsidR="00A624DD" w:rsidRDefault="00A47949">
      <w:pPr>
        <w:widowControl/>
        <w:spacing w:line="600" w:lineRule="exact"/>
        <w:jc w:val="center"/>
        <w:outlineLvl w:val="0"/>
        <w:rPr>
          <w:rFonts w:ascii="仿宋" w:eastAsia="仿宋" w:hAnsi="仿宋" w:cs="仿宋"/>
          <w:b/>
          <w:bCs/>
          <w:kern w:val="36"/>
          <w:sz w:val="36"/>
          <w:szCs w:val="36"/>
        </w:rPr>
      </w:pPr>
      <w:r>
        <w:rPr>
          <w:rFonts w:ascii="仿宋" w:eastAsia="仿宋" w:hAnsi="仿宋" w:cs="仿宋" w:hint="eastAsia"/>
          <w:b/>
          <w:bCs/>
          <w:kern w:val="36"/>
          <w:sz w:val="36"/>
          <w:szCs w:val="36"/>
        </w:rPr>
        <w:t>钻石现货托管交易风险控制管理办法（暂行）</w:t>
      </w:r>
    </w:p>
    <w:p w14:paraId="2D34F3BA" w14:textId="77777777" w:rsidR="00A624DD" w:rsidRDefault="00A624DD">
      <w:pPr>
        <w:widowControl/>
        <w:spacing w:line="600" w:lineRule="exact"/>
        <w:jc w:val="center"/>
        <w:outlineLvl w:val="0"/>
        <w:rPr>
          <w:rFonts w:ascii="仿宋" w:eastAsia="仿宋" w:hAnsi="仿宋" w:cs="仿宋"/>
          <w:b/>
          <w:bCs/>
          <w:kern w:val="36"/>
          <w:sz w:val="36"/>
          <w:szCs w:val="36"/>
        </w:rPr>
      </w:pPr>
    </w:p>
    <w:p w14:paraId="6376E01D" w14:textId="77777777" w:rsidR="00A624DD" w:rsidRDefault="00A47949">
      <w:pPr>
        <w:widowControl/>
        <w:shd w:val="clear" w:color="auto" w:fill="FFFFFF"/>
        <w:spacing w:line="500" w:lineRule="exact"/>
        <w:jc w:val="center"/>
        <w:rPr>
          <w:rFonts w:ascii="仿宋" w:eastAsia="仿宋" w:hAnsi="仿宋" w:cs="仿宋"/>
          <w:b/>
          <w:bCs/>
          <w:kern w:val="0"/>
          <w:sz w:val="24"/>
        </w:rPr>
      </w:pPr>
      <w:r>
        <w:rPr>
          <w:rFonts w:ascii="仿宋" w:eastAsia="仿宋" w:hAnsi="仿宋" w:cs="仿宋" w:hint="eastAsia"/>
          <w:b/>
          <w:bCs/>
          <w:kern w:val="0"/>
          <w:sz w:val="24"/>
        </w:rPr>
        <w:t>第一章 总则</w:t>
      </w:r>
    </w:p>
    <w:p w14:paraId="6280A58E"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第一条 为加强钻石现货托管交易风险管理，规范交易行为，保护买卖双方合法权益和社会公共利益，保障湖南文化艺术品产权交易所（以下简称“本所”）钻石现货托管交易的正常进行，根据本所交易</w:t>
      </w:r>
      <w:bookmarkStart w:id="0" w:name="_GoBack"/>
      <w:bookmarkEnd w:id="0"/>
      <w:r>
        <w:rPr>
          <w:rFonts w:ascii="仿宋" w:eastAsia="仿宋" w:hAnsi="仿宋" w:cs="仿宋" w:hint="eastAsia"/>
          <w:kern w:val="0"/>
          <w:sz w:val="24"/>
        </w:rPr>
        <w:t>规则及相关细则，制定本办法。</w:t>
      </w:r>
    </w:p>
    <w:p w14:paraId="7C5C1D70"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第二条 按照公开、公平、公正原则，切实维护交易商利益，本所主要负责搭建交易平台、提供服务和见证交易，托管商品的鉴定、评估、资金存管等均由独立第三方服务机构完成。</w:t>
      </w:r>
    </w:p>
    <w:p w14:paraId="74E23E41"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第三条 本所风险管理实行风险警示制度、涨跌停板制度以及保险机制。</w:t>
      </w:r>
    </w:p>
    <w:p w14:paraId="267B4B76"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第四条 交易商、托管人、第三方服务机构及相关参与方充分理解并同意遵守本办法。</w:t>
      </w:r>
    </w:p>
    <w:p w14:paraId="630AAD7B" w14:textId="77777777" w:rsidR="00A624DD" w:rsidRDefault="00A47949">
      <w:pPr>
        <w:widowControl/>
        <w:shd w:val="clear" w:color="auto" w:fill="FFFFFF"/>
        <w:spacing w:line="500" w:lineRule="exact"/>
        <w:jc w:val="center"/>
        <w:rPr>
          <w:rFonts w:ascii="仿宋" w:eastAsia="仿宋" w:hAnsi="仿宋" w:cs="仿宋"/>
          <w:b/>
          <w:bCs/>
          <w:kern w:val="0"/>
          <w:sz w:val="24"/>
        </w:rPr>
      </w:pPr>
      <w:r>
        <w:rPr>
          <w:rFonts w:ascii="仿宋" w:eastAsia="仿宋" w:hAnsi="仿宋" w:cs="仿宋" w:hint="eastAsia"/>
          <w:b/>
          <w:bCs/>
          <w:kern w:val="0"/>
          <w:sz w:val="24"/>
        </w:rPr>
        <w:t>第二章 风险警示制度</w:t>
      </w:r>
    </w:p>
    <w:p w14:paraId="2BAE29B1" w14:textId="3A6B9F39"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第五条 本所实行风险警示制度。</w:t>
      </w:r>
      <w:r w:rsidR="00CD56C7">
        <w:rPr>
          <w:rFonts w:ascii="仿宋" w:eastAsia="仿宋" w:hAnsi="仿宋" w:cs="仿宋" w:hint="eastAsia"/>
          <w:kern w:val="0"/>
          <w:sz w:val="24"/>
        </w:rPr>
        <w:t>本所</w:t>
      </w:r>
      <w:r>
        <w:rPr>
          <w:rFonts w:ascii="仿宋" w:eastAsia="仿宋" w:hAnsi="仿宋" w:cs="仿宋" w:hint="eastAsia"/>
          <w:kern w:val="0"/>
          <w:sz w:val="24"/>
        </w:rPr>
        <w:t>可以</w:t>
      </w:r>
      <w:r w:rsidR="00CD56C7">
        <w:rPr>
          <w:rFonts w:ascii="仿宋" w:eastAsia="仿宋" w:hAnsi="仿宋" w:cs="仿宋" w:hint="eastAsia"/>
          <w:kern w:val="0"/>
          <w:sz w:val="24"/>
        </w:rPr>
        <w:t>根据本所交易规则、相关细则和本办法的规定</w:t>
      </w:r>
      <w:r>
        <w:rPr>
          <w:rFonts w:ascii="仿宋" w:eastAsia="仿宋" w:hAnsi="仿宋" w:cs="仿宋" w:hint="eastAsia"/>
          <w:kern w:val="0"/>
          <w:sz w:val="24"/>
        </w:rPr>
        <w:t>分别采取或同时采取</w:t>
      </w:r>
      <w:r w:rsidR="00B46D6E">
        <w:rPr>
          <w:rFonts w:ascii="仿宋" w:eastAsia="仿宋" w:hAnsi="仿宋" w:cs="仿宋"/>
          <w:kern w:val="0"/>
          <w:sz w:val="24"/>
        </w:rPr>
        <w:t>约见谈话、</w:t>
      </w:r>
      <w:r>
        <w:rPr>
          <w:rFonts w:ascii="仿宋" w:eastAsia="仿宋" w:hAnsi="仿宋" w:cs="仿宋" w:hint="eastAsia"/>
          <w:kern w:val="0"/>
          <w:sz w:val="24"/>
        </w:rPr>
        <w:t>给予警告、通报批评、限期整改、发布风险警示公告以及暂停或限制交易、取消交易资格、临时停牌等措施中的一种或多种，以警示和控制风险。</w:t>
      </w:r>
    </w:p>
    <w:p w14:paraId="53823541"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第六条 交易商存在下列情况之一的，本所有权视其行为性质和情节严重程度，</w:t>
      </w:r>
      <w:r w:rsidR="00B46D6E">
        <w:rPr>
          <w:rFonts w:ascii="仿宋" w:eastAsia="仿宋" w:hAnsi="仿宋" w:cs="仿宋"/>
          <w:kern w:val="0"/>
          <w:sz w:val="24"/>
        </w:rPr>
        <w:t>约见谈话、</w:t>
      </w:r>
      <w:r>
        <w:rPr>
          <w:rFonts w:ascii="仿宋" w:eastAsia="仿宋" w:hAnsi="仿宋" w:cs="仿宋" w:hint="eastAsia"/>
          <w:kern w:val="0"/>
          <w:sz w:val="24"/>
        </w:rPr>
        <w:t>给予警告、通报批评、限期整改、暂停交易、限制交易、直至取消其交易商资格等措施：</w:t>
      </w:r>
    </w:p>
    <w:p w14:paraId="4541E32B"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（一）违反本所有关规定和业务规则的；</w:t>
      </w:r>
    </w:p>
    <w:p w14:paraId="0BB4B953"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（二）不按本所规定缴纳各项费用的；</w:t>
      </w:r>
    </w:p>
    <w:p w14:paraId="2F364A51"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（三）不严格履行《入市协议》所约定义务的；</w:t>
      </w:r>
    </w:p>
    <w:p w14:paraId="50CDE2DC"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（四）其他违反国家法律、法规、规章的情况。</w:t>
      </w:r>
    </w:p>
    <w:p w14:paraId="0584FF2C"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lastRenderedPageBreak/>
        <w:t>本所设立交易商诚信档案。交易商违规、违约的，除应承担相应的责任外，本所将在交易商诚信档案予以记录，限制或禁止其进入本所交易，情节严重的取消其交易商资格。</w:t>
      </w:r>
    </w:p>
    <w:p w14:paraId="5A3DE804"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第七条 托管人存在下列情况之一的，本所有权视其行为性质和情节严重程度，</w:t>
      </w:r>
      <w:r w:rsidR="00B46D6E">
        <w:rPr>
          <w:rFonts w:ascii="仿宋" w:eastAsia="仿宋" w:hAnsi="仿宋" w:cs="仿宋"/>
          <w:kern w:val="0"/>
          <w:sz w:val="24"/>
        </w:rPr>
        <w:t>约见谈话、</w:t>
      </w:r>
      <w:r>
        <w:rPr>
          <w:rFonts w:ascii="仿宋" w:eastAsia="仿宋" w:hAnsi="仿宋" w:cs="仿宋" w:hint="eastAsia"/>
          <w:kern w:val="0"/>
          <w:sz w:val="24"/>
        </w:rPr>
        <w:t>给予警告、通报批评、限期整改、暂停交易、限制交易、直至取消其托管人资格等措施：</w:t>
      </w:r>
    </w:p>
    <w:p w14:paraId="13FAC1AA"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（一）违反本所有关规定和业务规则的；</w:t>
      </w:r>
    </w:p>
    <w:p w14:paraId="15E452EE"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（二）不按本所规定缴纳各项费用的；</w:t>
      </w:r>
    </w:p>
    <w:p w14:paraId="734E2277"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（三）其他违反国家法律、法规、规章规定以及违反相关协议约定的情况。</w:t>
      </w:r>
    </w:p>
    <w:p w14:paraId="178D1D4E" w14:textId="77777777" w:rsidR="00A624DD" w:rsidRDefault="00A47949">
      <w:pPr>
        <w:widowControl/>
        <w:spacing w:line="500" w:lineRule="exact"/>
        <w:ind w:firstLine="480"/>
        <w:jc w:val="left"/>
        <w:rPr>
          <w:rFonts w:ascii="仿宋" w:eastAsia="仿宋" w:hAnsi="仿宋" w:cs="仿宋"/>
          <w:kern w:val="0"/>
          <w:sz w:val="24"/>
        </w:rPr>
      </w:pPr>
      <w:r>
        <w:rPr>
          <w:rFonts w:ascii="仿宋" w:eastAsia="仿宋" w:hAnsi="仿宋" w:cs="仿宋" w:hint="eastAsia"/>
          <w:kern w:val="0"/>
          <w:sz w:val="24"/>
        </w:rPr>
        <w:t xml:space="preserve">本所设立托管人诚信档案。托管人违规、违约的，除应承担相应的责任外，本所将在托管人诚信档案予以记录，限制或禁止其进行商品托管委托，情节严重的取消其发行申请资格。    </w:t>
      </w:r>
    </w:p>
    <w:p w14:paraId="1BA9E65F"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第八条 发生下列情形之一的，本所可以采取调整开市收市时间、暂停交易等紧急措施：</w:t>
      </w:r>
    </w:p>
    <w:p w14:paraId="5FF7845B"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（一）不可抗力；</w:t>
      </w:r>
    </w:p>
    <w:p w14:paraId="359D7997"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（二）意外事件；</w:t>
      </w:r>
    </w:p>
    <w:p w14:paraId="754E6A39"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（三）技术故障；</w:t>
      </w:r>
    </w:p>
    <w:p w14:paraId="5C4DFAC6"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（四）本所认定的其他异常情况。</w:t>
      </w:r>
    </w:p>
    <w:p w14:paraId="369A77B0"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本所将对紧急措施及时在官方网站予以公告。</w:t>
      </w:r>
    </w:p>
    <w:p w14:paraId="5EEE7B25"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采取暂停交易紧急措施时，一般不超过3个交易日（含）。  </w:t>
      </w:r>
    </w:p>
    <w:p w14:paraId="7DF71CF8"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第九条 本所对调整开市收市时间、暂停交易决定予以公告。</w:t>
      </w:r>
    </w:p>
    <w:p w14:paraId="0C1F50D4"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技术性停牌或临时停市原因消除后，本所可以决定恢复交易，并予以公告。</w:t>
      </w:r>
    </w:p>
    <w:p w14:paraId="286C9CE0" w14:textId="77777777" w:rsidR="00A624DD" w:rsidRDefault="00A47949">
      <w:pPr>
        <w:widowControl/>
        <w:shd w:val="clear" w:color="auto" w:fill="FFFFFF"/>
        <w:spacing w:line="500" w:lineRule="exact"/>
        <w:jc w:val="center"/>
        <w:rPr>
          <w:rFonts w:ascii="仿宋" w:eastAsia="仿宋" w:hAnsi="仿宋" w:cs="仿宋"/>
          <w:b/>
          <w:bCs/>
          <w:kern w:val="0"/>
          <w:sz w:val="24"/>
        </w:rPr>
      </w:pPr>
      <w:r>
        <w:rPr>
          <w:rFonts w:ascii="仿宋" w:eastAsia="仿宋" w:hAnsi="仿宋" w:cs="仿宋" w:hint="eastAsia"/>
          <w:b/>
          <w:bCs/>
          <w:kern w:val="0"/>
          <w:sz w:val="24"/>
        </w:rPr>
        <w:t>第三章 涨跌停板制度</w:t>
      </w:r>
    </w:p>
    <w:p w14:paraId="69CAF844"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lastRenderedPageBreak/>
        <w:t xml:space="preserve">    第十条 钻石现货托管交易实行全款全货交易，并即时完成货款划拨和托管商品所有权转移；买方交易商当日买入并持有的托管</w:t>
      </w:r>
      <w:r w:rsidR="005F021D">
        <w:rPr>
          <w:rFonts w:ascii="仿宋" w:eastAsia="仿宋" w:hAnsi="仿宋" w:cs="仿宋"/>
          <w:kern w:val="0"/>
          <w:sz w:val="24"/>
        </w:rPr>
        <w:t>钻石</w:t>
      </w:r>
      <w:r>
        <w:rPr>
          <w:rFonts w:ascii="仿宋" w:eastAsia="仿宋" w:hAnsi="仿宋" w:cs="仿宋" w:hint="eastAsia"/>
          <w:kern w:val="0"/>
          <w:sz w:val="24"/>
        </w:rPr>
        <w:t>商品可在交易当日转让。</w:t>
      </w:r>
    </w:p>
    <w:p w14:paraId="2AA34011" w14:textId="77777777" w:rsidR="00A624DD" w:rsidRDefault="00A47949">
      <w:pPr>
        <w:widowControl/>
        <w:spacing w:line="500" w:lineRule="exact"/>
        <w:ind w:firstLine="380"/>
        <w:jc w:val="left"/>
        <w:rPr>
          <w:rFonts w:ascii="仿宋" w:eastAsia="仿宋" w:hAnsi="仿宋" w:cs="仿宋"/>
          <w:kern w:val="0"/>
          <w:sz w:val="24"/>
        </w:rPr>
      </w:pPr>
      <w:r>
        <w:rPr>
          <w:rFonts w:ascii="仿宋" w:eastAsia="仿宋" w:hAnsi="仿宋" w:cs="仿宋" w:hint="eastAsia"/>
          <w:kern w:val="0"/>
          <w:sz w:val="24"/>
        </w:rPr>
        <w:t xml:space="preserve"> 第十一条 本所钻石现货托管交易实行每日价格涨（跌）幅限制制度。</w:t>
      </w:r>
    </w:p>
    <w:p w14:paraId="53DD8D36" w14:textId="23152D46"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每日涨（跌）幅限制是指电子交易合同约定的在一个交易日中的交易价格不得高于的涨幅上限或者低于的跌幅下限，高于涨幅上限或低于跌幅下限的报价将被视为无效。首日上市交易商品的涨跌幅度不得超过发行价的</w:t>
      </w:r>
      <w:r w:rsidR="00B46D6E">
        <w:rPr>
          <w:rFonts w:ascii="仿宋" w:eastAsia="仿宋" w:hAnsi="仿宋" w:cs="仿宋"/>
          <w:kern w:val="0"/>
          <w:sz w:val="24"/>
        </w:rPr>
        <w:t>1</w:t>
      </w:r>
      <w:r w:rsidR="00B46D6E">
        <w:rPr>
          <w:rFonts w:ascii="仿宋" w:eastAsia="仿宋" w:hAnsi="仿宋" w:cs="仿宋" w:hint="eastAsia"/>
          <w:kern w:val="0"/>
          <w:sz w:val="24"/>
        </w:rPr>
        <w:t>0</w:t>
      </w:r>
      <w:r>
        <w:rPr>
          <w:rFonts w:ascii="仿宋" w:eastAsia="仿宋" w:hAnsi="仿宋" w:cs="仿宋" w:hint="eastAsia"/>
          <w:kern w:val="0"/>
          <w:sz w:val="24"/>
        </w:rPr>
        <w:t>%；非首日上市商品的涨跌幅度不得超过前一交易日收市价的10%；如有调整，以本所在官方网站的通知为执行依据。</w:t>
      </w:r>
    </w:p>
    <w:p w14:paraId="757F43EE"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本所为确保在风险可控的环境下，尽可能提高钻石商品交易活跃度，当且仅当交易价格连续3天偏离当日DIALINK PRICE达30%以上，本所可根据实际情况，对交易商或交易账户进行系列风险警示、控制措施，包括但不限于约见谈话、警告、限制交易、紧急停牌等。</w:t>
      </w:r>
    </w:p>
    <w:p w14:paraId="2E5DF035" w14:textId="77777777" w:rsidR="00A624DD" w:rsidRDefault="00A47949">
      <w:pPr>
        <w:widowControl/>
        <w:shd w:val="clear" w:color="auto" w:fill="FFFFFF"/>
        <w:spacing w:line="500" w:lineRule="exact"/>
        <w:jc w:val="center"/>
        <w:rPr>
          <w:rFonts w:ascii="仿宋" w:eastAsia="仿宋" w:hAnsi="仿宋" w:cs="仿宋"/>
          <w:b/>
          <w:bCs/>
          <w:kern w:val="0"/>
          <w:sz w:val="24"/>
        </w:rPr>
      </w:pPr>
      <w:r>
        <w:rPr>
          <w:rFonts w:ascii="仿宋" w:eastAsia="仿宋" w:hAnsi="仿宋" w:cs="仿宋" w:hint="eastAsia"/>
          <w:b/>
          <w:bCs/>
          <w:kern w:val="0"/>
          <w:sz w:val="24"/>
        </w:rPr>
        <w:t>第四章 建立保险制度</w:t>
      </w:r>
    </w:p>
    <w:p w14:paraId="64D4E6B6" w14:textId="37E7FC21"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第十二条 本所对托管入库的</w:t>
      </w:r>
      <w:r w:rsidR="005F021D">
        <w:rPr>
          <w:rFonts w:ascii="仿宋" w:eastAsia="仿宋" w:hAnsi="仿宋" w:cs="仿宋"/>
          <w:kern w:val="0"/>
          <w:sz w:val="24"/>
        </w:rPr>
        <w:t>钻石</w:t>
      </w:r>
      <w:r>
        <w:rPr>
          <w:rFonts w:ascii="仿宋" w:eastAsia="仿宋" w:hAnsi="仿宋" w:cs="仿宋" w:hint="eastAsia"/>
          <w:kern w:val="0"/>
          <w:sz w:val="24"/>
        </w:rPr>
        <w:t>商品建立保险机制，</w:t>
      </w:r>
      <w:r w:rsidR="00B46D6E">
        <w:rPr>
          <w:rFonts w:ascii="仿宋" w:eastAsia="仿宋" w:hAnsi="仿宋" w:cs="仿宋"/>
          <w:kern w:val="0"/>
          <w:sz w:val="24"/>
        </w:rPr>
        <w:t>自行或委托仓储</w:t>
      </w:r>
      <w:r w:rsidR="00B46D6E">
        <w:rPr>
          <w:rFonts w:ascii="仿宋" w:eastAsia="仿宋" w:hAnsi="仿宋" w:cs="仿宋" w:hint="eastAsia"/>
          <w:kern w:val="0"/>
          <w:sz w:val="24"/>
        </w:rPr>
        <w:t>机构购买</w:t>
      </w:r>
      <w:r w:rsidR="00B46D6E">
        <w:rPr>
          <w:rFonts w:ascii="仿宋" w:eastAsia="仿宋" w:hAnsi="仿宋" w:cs="仿宋"/>
          <w:kern w:val="0"/>
          <w:sz w:val="24"/>
        </w:rPr>
        <w:t>保险，</w:t>
      </w:r>
      <w:r>
        <w:rPr>
          <w:rFonts w:ascii="仿宋" w:eastAsia="仿宋" w:hAnsi="仿宋" w:cs="仿宋" w:hint="eastAsia"/>
          <w:kern w:val="0"/>
          <w:sz w:val="24"/>
        </w:rPr>
        <w:t>确保</w:t>
      </w:r>
      <w:r>
        <w:rPr>
          <w:rFonts w:ascii="仿宋" w:eastAsia="仿宋" w:hAnsi="仿宋" w:cs="仿宋"/>
          <w:kern w:val="0"/>
          <w:sz w:val="24"/>
        </w:rPr>
        <w:t>在</w:t>
      </w:r>
      <w:r>
        <w:rPr>
          <w:rFonts w:ascii="仿宋" w:eastAsia="仿宋" w:hAnsi="仿宋" w:cs="仿宋" w:hint="eastAsia"/>
          <w:kern w:val="0"/>
          <w:sz w:val="24"/>
        </w:rPr>
        <w:t>出现</w:t>
      </w:r>
      <w:r>
        <w:rPr>
          <w:rFonts w:ascii="仿宋" w:eastAsia="仿宋" w:hAnsi="仿宋" w:cs="仿宋"/>
          <w:kern w:val="0"/>
          <w:sz w:val="24"/>
        </w:rPr>
        <w:t>自然灾害和意外事故</w:t>
      </w:r>
      <w:r>
        <w:rPr>
          <w:rFonts w:ascii="仿宋" w:eastAsia="仿宋" w:hAnsi="仿宋" w:cs="仿宋" w:hint="eastAsia"/>
          <w:kern w:val="0"/>
          <w:sz w:val="24"/>
        </w:rPr>
        <w:t>情况</w:t>
      </w:r>
      <w:r>
        <w:rPr>
          <w:rFonts w:ascii="仿宋" w:eastAsia="仿宋" w:hAnsi="仿宋" w:cs="仿宋"/>
          <w:kern w:val="0"/>
          <w:sz w:val="24"/>
        </w:rPr>
        <w:t>下</w:t>
      </w:r>
      <w:r w:rsidR="005F021D">
        <w:rPr>
          <w:rFonts w:ascii="仿宋" w:eastAsia="仿宋" w:hAnsi="仿宋" w:cs="仿宋"/>
          <w:kern w:val="0"/>
          <w:sz w:val="24"/>
        </w:rPr>
        <w:t>钻石</w:t>
      </w:r>
      <w:r>
        <w:rPr>
          <w:rFonts w:ascii="仿宋" w:eastAsia="仿宋" w:hAnsi="仿宋" w:cs="仿宋" w:hint="eastAsia"/>
          <w:kern w:val="0"/>
          <w:sz w:val="24"/>
        </w:rPr>
        <w:t>商品的安全。</w:t>
      </w:r>
    </w:p>
    <w:p w14:paraId="56A3BC91" w14:textId="77777777" w:rsidR="00A624DD" w:rsidRDefault="00A47949">
      <w:pPr>
        <w:widowControl/>
        <w:shd w:val="clear" w:color="auto" w:fill="FFFFFF"/>
        <w:spacing w:line="500" w:lineRule="exact"/>
        <w:jc w:val="center"/>
        <w:rPr>
          <w:rFonts w:ascii="仿宋" w:eastAsia="仿宋" w:hAnsi="仿宋" w:cs="仿宋"/>
          <w:b/>
          <w:bCs/>
          <w:kern w:val="0"/>
          <w:sz w:val="24"/>
        </w:rPr>
      </w:pPr>
      <w:r>
        <w:rPr>
          <w:rFonts w:ascii="仿宋" w:eastAsia="仿宋" w:hAnsi="仿宋" w:cs="仿宋" w:hint="eastAsia"/>
          <w:b/>
          <w:bCs/>
          <w:kern w:val="0"/>
          <w:sz w:val="24"/>
        </w:rPr>
        <w:t>第五章 附则</w:t>
      </w:r>
    </w:p>
    <w:p w14:paraId="6285E875"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第十三条 本办法修改权和解释权属于本所。本办法若有修改，本所将在官方网站http://www.hncae.net予以公告。</w:t>
      </w:r>
    </w:p>
    <w:p w14:paraId="4633ABEB" w14:textId="77777777" w:rsidR="00A624DD" w:rsidRDefault="00A47949">
      <w:pPr>
        <w:widowControl/>
        <w:spacing w:line="500" w:lineRule="exact"/>
        <w:jc w:val="left"/>
        <w:rPr>
          <w:rFonts w:ascii="仿宋" w:eastAsia="仿宋" w:hAnsi="仿宋" w:cs="仿宋"/>
          <w:kern w:val="0"/>
          <w:sz w:val="24"/>
        </w:rPr>
      </w:pPr>
      <w:r>
        <w:rPr>
          <w:rFonts w:ascii="仿宋" w:eastAsia="仿宋" w:hAnsi="仿宋" w:cs="仿宋" w:hint="eastAsia"/>
          <w:kern w:val="0"/>
          <w:sz w:val="24"/>
        </w:rPr>
        <w:t xml:space="preserve">    第十四条 本办法自公布之日起施行。 </w:t>
      </w:r>
    </w:p>
    <w:p w14:paraId="475720ED" w14:textId="77777777" w:rsidR="00A624DD" w:rsidRDefault="00A624DD"/>
    <w:sectPr w:rsidR="00A62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BB022E"/>
    <w:rsid w:val="005F021D"/>
    <w:rsid w:val="00A47949"/>
    <w:rsid w:val="00A624DD"/>
    <w:rsid w:val="00B46D6E"/>
    <w:rsid w:val="00CD56C7"/>
    <w:rsid w:val="00DE0659"/>
    <w:rsid w:val="2CBB022E"/>
    <w:rsid w:val="6B4D4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D73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46D6E"/>
    <w:rPr>
      <w:rFonts w:ascii="Helvetica" w:hAnsi="Helvetica"/>
      <w:sz w:val="18"/>
      <w:szCs w:val="18"/>
    </w:rPr>
  </w:style>
  <w:style w:type="character" w:customStyle="1" w:styleId="Char">
    <w:name w:val="批注框文本 Char"/>
    <w:basedOn w:val="a0"/>
    <w:link w:val="a3"/>
    <w:rsid w:val="00B46D6E"/>
    <w:rPr>
      <w:rFonts w:ascii="Helvetica" w:hAnsi="Helvetic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Zuanlian</cp:lastModifiedBy>
  <cp:revision>2</cp:revision>
  <dcterms:created xsi:type="dcterms:W3CDTF">2017-01-03T06:46:00Z</dcterms:created>
  <dcterms:modified xsi:type="dcterms:W3CDTF">2017-01-03T06:46:00Z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